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1A7F7" w14:textId="7D436455" w:rsidR="00E30F03" w:rsidRPr="00E30F03" w:rsidRDefault="00E30F03" w:rsidP="00E30F03">
      <w:pPr>
        <w:pStyle w:val="Annex"/>
        <w:numPr>
          <w:ilvl w:val="0"/>
          <w:numId w:val="0"/>
        </w:numPr>
        <w:ind w:left="1701" w:hanging="1701"/>
        <w:rPr>
          <w:rFonts w:ascii="Candara" w:hAnsi="Candara"/>
        </w:rPr>
      </w:pPr>
      <w:bookmarkStart w:id="0" w:name="_Toc39746431"/>
      <w:r w:rsidRPr="00E30F03">
        <w:rPr>
          <w:rFonts w:ascii="Candara" w:hAnsi="Candara"/>
        </w:rPr>
        <w:t>PEFA Indicators and Best Practice</w:t>
      </w:r>
      <w:bookmarkEnd w:id="0"/>
    </w:p>
    <w:tbl>
      <w:tblPr>
        <w:tblStyle w:val="TableGrid"/>
        <w:tblW w:w="10632" w:type="dxa"/>
        <w:tblInd w:w="-856" w:type="dxa"/>
        <w:tblLook w:val="04A0" w:firstRow="1" w:lastRow="0" w:firstColumn="1" w:lastColumn="0" w:noHBand="0" w:noVBand="1"/>
      </w:tblPr>
      <w:tblGrid>
        <w:gridCol w:w="1571"/>
        <w:gridCol w:w="1665"/>
        <w:gridCol w:w="1665"/>
        <w:gridCol w:w="5731"/>
      </w:tblGrid>
      <w:tr w:rsidR="00E30F03" w:rsidRPr="00E30F03" w14:paraId="1E5D5AB2" w14:textId="77777777" w:rsidTr="00D55F5C">
        <w:trPr>
          <w:cantSplit/>
          <w:tblHeader/>
        </w:trPr>
        <w:tc>
          <w:tcPr>
            <w:tcW w:w="1571" w:type="dxa"/>
            <w:tcBorders>
              <w:top w:val="single" w:sz="4" w:space="0" w:color="auto"/>
              <w:left w:val="single" w:sz="4" w:space="0" w:color="auto"/>
              <w:bottom w:val="single" w:sz="4" w:space="0" w:color="auto"/>
              <w:right w:val="single" w:sz="4" w:space="0" w:color="auto"/>
            </w:tcBorders>
            <w:shd w:val="clear" w:color="auto" w:fill="auto"/>
            <w:hideMark/>
          </w:tcPr>
          <w:p w14:paraId="61957D54" w14:textId="77777777" w:rsidR="00E30F03" w:rsidRPr="00E30F03" w:rsidRDefault="00E30F03" w:rsidP="00D55F5C">
            <w:pPr>
              <w:spacing w:after="0"/>
              <w:jc w:val="left"/>
              <w:rPr>
                <w:rFonts w:ascii="Candara" w:hAnsi="Candara" w:cstheme="minorHAnsi"/>
                <w:b/>
                <w:color w:val="32746D"/>
              </w:rPr>
            </w:pPr>
            <w:bookmarkStart w:id="1" w:name="_Hlk10387910"/>
            <w:r w:rsidRPr="00E30F03">
              <w:rPr>
                <w:rFonts w:ascii="Candara" w:hAnsi="Candara" w:cstheme="minorHAnsi"/>
                <w:b/>
              </w:rPr>
              <w:t>Pillar</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3EF5EE1C" w14:textId="77777777" w:rsidR="00E30F03" w:rsidRPr="00E30F03" w:rsidRDefault="00E30F03" w:rsidP="00D55F5C">
            <w:pPr>
              <w:spacing w:after="0"/>
              <w:jc w:val="left"/>
              <w:rPr>
                <w:rFonts w:ascii="Candara" w:hAnsi="Candara" w:cstheme="minorHAnsi"/>
                <w:b/>
              </w:rPr>
            </w:pPr>
            <w:r w:rsidRPr="00E30F03">
              <w:rPr>
                <w:rFonts w:ascii="Candara" w:hAnsi="Candara" w:cstheme="minorHAnsi"/>
                <w:b/>
              </w:rPr>
              <w:t>Indicator</w:t>
            </w:r>
          </w:p>
        </w:tc>
        <w:tc>
          <w:tcPr>
            <w:tcW w:w="1665" w:type="dxa"/>
            <w:tcBorders>
              <w:top w:val="single" w:sz="4" w:space="0" w:color="auto"/>
              <w:left w:val="single" w:sz="4" w:space="0" w:color="auto"/>
              <w:bottom w:val="single" w:sz="4" w:space="0" w:color="auto"/>
              <w:right w:val="single" w:sz="4" w:space="0" w:color="auto"/>
            </w:tcBorders>
            <w:shd w:val="clear" w:color="auto" w:fill="auto"/>
            <w:hideMark/>
          </w:tcPr>
          <w:p w14:paraId="7BBC85E7" w14:textId="77777777" w:rsidR="00E30F03" w:rsidRPr="00E30F03" w:rsidRDefault="00E30F03" w:rsidP="00D55F5C">
            <w:pPr>
              <w:spacing w:after="0"/>
              <w:jc w:val="left"/>
              <w:rPr>
                <w:rFonts w:ascii="Candara" w:hAnsi="Candara" w:cstheme="minorHAnsi"/>
                <w:b/>
              </w:rPr>
            </w:pPr>
            <w:r w:rsidRPr="00E30F03">
              <w:rPr>
                <w:rFonts w:ascii="Candara" w:hAnsi="Candara" w:cstheme="minorHAnsi"/>
                <w:b/>
              </w:rPr>
              <w:t>Dimension</w:t>
            </w:r>
          </w:p>
        </w:tc>
        <w:tc>
          <w:tcPr>
            <w:tcW w:w="5731" w:type="dxa"/>
            <w:tcBorders>
              <w:top w:val="single" w:sz="4" w:space="0" w:color="auto"/>
              <w:left w:val="single" w:sz="4" w:space="0" w:color="auto"/>
              <w:bottom w:val="single" w:sz="4" w:space="0" w:color="auto"/>
              <w:right w:val="single" w:sz="4" w:space="0" w:color="auto"/>
            </w:tcBorders>
            <w:shd w:val="clear" w:color="auto" w:fill="auto"/>
            <w:hideMark/>
          </w:tcPr>
          <w:p w14:paraId="0A69F80A" w14:textId="77777777" w:rsidR="00E30F03" w:rsidRPr="00E30F03" w:rsidRDefault="00E30F03" w:rsidP="00D55F5C">
            <w:pPr>
              <w:spacing w:after="0"/>
              <w:jc w:val="left"/>
              <w:rPr>
                <w:rFonts w:ascii="Candara" w:hAnsi="Candara" w:cstheme="minorHAnsi"/>
                <w:b/>
              </w:rPr>
            </w:pPr>
            <w:r w:rsidRPr="00E30F03">
              <w:rPr>
                <w:rFonts w:ascii="Candara" w:hAnsi="Candara" w:cstheme="minorHAnsi"/>
                <w:b/>
              </w:rPr>
              <w:t>Requirement for A Score (Best Practice)</w:t>
            </w:r>
          </w:p>
        </w:tc>
        <w:bookmarkEnd w:id="1"/>
      </w:tr>
      <w:tr w:rsidR="00E30F03" w:rsidRPr="00E30F03" w14:paraId="6747D45B" w14:textId="77777777" w:rsidTr="00D55F5C">
        <w:trPr>
          <w:cantSplit/>
        </w:trPr>
        <w:tc>
          <w:tcPr>
            <w:tcW w:w="1571" w:type="dxa"/>
            <w:tcBorders>
              <w:top w:val="single" w:sz="4" w:space="0" w:color="auto"/>
              <w:left w:val="single" w:sz="4" w:space="0" w:color="auto"/>
              <w:bottom w:val="single" w:sz="4" w:space="0" w:color="auto"/>
              <w:right w:val="single" w:sz="4" w:space="0" w:color="auto"/>
            </w:tcBorders>
          </w:tcPr>
          <w:p w14:paraId="7E6D27F1" w14:textId="77777777" w:rsidR="00E30F03" w:rsidRPr="00864178" w:rsidRDefault="00E30F03" w:rsidP="00D55F5C">
            <w:pPr>
              <w:spacing w:after="0"/>
              <w:jc w:val="left"/>
              <w:rPr>
                <w:rFonts w:ascii="Candara" w:hAnsi="Candara" w:cstheme="minorHAnsi"/>
                <w:b/>
                <w:bCs/>
                <w:color w:val="0070C0"/>
              </w:rPr>
            </w:pPr>
            <w:r w:rsidRPr="00864178">
              <w:rPr>
                <w:rFonts w:ascii="Candara" w:hAnsi="Candara" w:cs="Calibri"/>
                <w:b/>
                <w:bCs/>
                <w:color w:val="0070C0"/>
              </w:rPr>
              <w:t>II. Transparency of public finances</w:t>
            </w:r>
          </w:p>
        </w:tc>
        <w:tc>
          <w:tcPr>
            <w:tcW w:w="1665" w:type="dxa"/>
            <w:tcBorders>
              <w:top w:val="single" w:sz="4" w:space="0" w:color="auto"/>
              <w:left w:val="single" w:sz="4" w:space="0" w:color="auto"/>
              <w:bottom w:val="single" w:sz="4" w:space="0" w:color="auto"/>
              <w:right w:val="single" w:sz="4" w:space="0" w:color="auto"/>
            </w:tcBorders>
          </w:tcPr>
          <w:p w14:paraId="3CA23B1E" w14:textId="77777777" w:rsidR="00E30F03" w:rsidRPr="00E30F03" w:rsidRDefault="00E30F03" w:rsidP="00D55F5C">
            <w:pPr>
              <w:spacing w:after="0"/>
              <w:jc w:val="left"/>
              <w:rPr>
                <w:rFonts w:ascii="Candara" w:hAnsi="Candara" w:cstheme="minorHAnsi"/>
              </w:rPr>
            </w:pPr>
            <w:r w:rsidRPr="00E30F03">
              <w:rPr>
                <w:rFonts w:ascii="Candara" w:hAnsi="Candara" w:cs="Calibri"/>
                <w:bCs/>
              </w:rPr>
              <w:t>PI-5. Budget documentation</w:t>
            </w:r>
          </w:p>
        </w:tc>
        <w:tc>
          <w:tcPr>
            <w:tcW w:w="1665" w:type="dxa"/>
            <w:tcBorders>
              <w:top w:val="single" w:sz="4" w:space="0" w:color="auto"/>
              <w:left w:val="single" w:sz="4" w:space="0" w:color="auto"/>
              <w:bottom w:val="single" w:sz="4" w:space="0" w:color="auto"/>
              <w:right w:val="single" w:sz="4" w:space="0" w:color="auto"/>
            </w:tcBorders>
          </w:tcPr>
          <w:p w14:paraId="36C2BD66" w14:textId="77777777" w:rsidR="00E30F03" w:rsidRPr="00E30F03" w:rsidRDefault="00E30F03" w:rsidP="00D55F5C">
            <w:pPr>
              <w:spacing w:after="0"/>
              <w:jc w:val="left"/>
              <w:rPr>
                <w:rFonts w:ascii="Candara" w:hAnsi="Candara" w:cstheme="minorHAnsi"/>
              </w:rPr>
            </w:pPr>
            <w:r w:rsidRPr="00E30F03">
              <w:rPr>
                <w:rFonts w:ascii="Candara" w:hAnsi="Candara" w:cs="Calibri"/>
                <w:bCs/>
              </w:rPr>
              <w:t>5.1. Budget documentation</w:t>
            </w:r>
          </w:p>
        </w:tc>
        <w:tc>
          <w:tcPr>
            <w:tcW w:w="5731" w:type="dxa"/>
            <w:tcBorders>
              <w:top w:val="single" w:sz="4" w:space="0" w:color="auto"/>
              <w:left w:val="single" w:sz="4" w:space="0" w:color="auto"/>
              <w:bottom w:val="single" w:sz="4" w:space="0" w:color="auto"/>
              <w:right w:val="single" w:sz="4" w:space="0" w:color="auto"/>
            </w:tcBorders>
          </w:tcPr>
          <w:p w14:paraId="67E8C12D" w14:textId="77777777" w:rsidR="00E30F03" w:rsidRPr="00E30F03" w:rsidRDefault="00E30F03" w:rsidP="00D55F5C">
            <w:pPr>
              <w:autoSpaceDE w:val="0"/>
              <w:autoSpaceDN w:val="0"/>
              <w:adjustRightInd w:val="0"/>
              <w:spacing w:after="0"/>
              <w:jc w:val="left"/>
              <w:rPr>
                <w:rFonts w:ascii="Candara" w:hAnsi="Candara" w:cstheme="minorHAnsi"/>
              </w:rPr>
            </w:pPr>
            <w:r w:rsidRPr="00E30F03">
              <w:rPr>
                <w:rFonts w:ascii="Candara" w:hAnsi="Candara" w:cs="Calibri"/>
                <w:bCs/>
              </w:rPr>
              <w:t>Budget documentation fulfils 10 elements, including every basic element (1–4).</w:t>
            </w:r>
          </w:p>
        </w:tc>
      </w:tr>
      <w:tr w:rsidR="00E30F03" w:rsidRPr="00E30F03" w14:paraId="4F85D3F6" w14:textId="77777777" w:rsidTr="00D55F5C">
        <w:trPr>
          <w:cantSplit/>
        </w:trPr>
        <w:tc>
          <w:tcPr>
            <w:tcW w:w="10632" w:type="dxa"/>
            <w:gridSpan w:val="4"/>
            <w:tcBorders>
              <w:top w:val="single" w:sz="4" w:space="0" w:color="auto"/>
              <w:left w:val="single" w:sz="4" w:space="0" w:color="auto"/>
              <w:bottom w:val="single" w:sz="4" w:space="0" w:color="auto"/>
              <w:right w:val="single" w:sz="4" w:space="0" w:color="auto"/>
            </w:tcBorders>
          </w:tcPr>
          <w:p w14:paraId="49AA8E4F" w14:textId="77777777" w:rsidR="00E30F03" w:rsidRPr="00E30F03" w:rsidRDefault="00E30F03" w:rsidP="00D55F5C">
            <w:pPr>
              <w:jc w:val="left"/>
              <w:rPr>
                <w:rFonts w:ascii="Candara" w:hAnsi="Candara" w:cs="Calibri"/>
                <w:b/>
              </w:rPr>
            </w:pPr>
            <w:r w:rsidRPr="00E30F03">
              <w:rPr>
                <w:rFonts w:ascii="Candara" w:hAnsi="Candara" w:cs="Calibri"/>
                <w:b/>
              </w:rPr>
              <w:t>Basic elements</w:t>
            </w:r>
          </w:p>
          <w:p w14:paraId="2F225214" w14:textId="77777777" w:rsidR="00E30F03" w:rsidRPr="00E30F03" w:rsidRDefault="00E30F03" w:rsidP="00E30F03">
            <w:pPr>
              <w:pStyle w:val="ListParagraph"/>
              <w:numPr>
                <w:ilvl w:val="0"/>
                <w:numId w:val="3"/>
              </w:numPr>
              <w:spacing w:after="0"/>
              <w:ind w:left="324" w:hanging="283"/>
              <w:jc w:val="left"/>
              <w:rPr>
                <w:rFonts w:ascii="Candara" w:hAnsi="Candara" w:cs="Calibri"/>
                <w:b/>
              </w:rPr>
            </w:pPr>
            <w:r w:rsidRPr="00E30F03">
              <w:rPr>
                <w:rFonts w:ascii="Candara" w:hAnsi="Candara" w:cs="Calibri"/>
                <w:bCs/>
              </w:rPr>
              <w:t>Forecast of the fiscal deficit or surplus or accrual operating result.</w:t>
            </w:r>
          </w:p>
          <w:p w14:paraId="52B399E3"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Previous year’s budget outturn presented in the same format as the budget proposal. In this element, ‘same format as the budget proposal’ means that figures should be presented and comparable at the same aggregate level or the same level of relevant detail as in the budget proposal.</w:t>
            </w:r>
          </w:p>
          <w:p w14:paraId="4F238463"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Current fiscal year’s budget presented in the same format as the budget proposal. This can be either the revised budget or the estimated outturn.</w:t>
            </w:r>
          </w:p>
          <w:p w14:paraId="209AAB86"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Aggregated budget data for both revenue and expenditure according to the main heads of the classifications used, including data for the current and previous year with a detailed breakdown of revenue and expenditure estimates. (Budget classification is covered in PI-4.)</w:t>
            </w:r>
          </w:p>
          <w:p w14:paraId="68B2FA2F" w14:textId="77777777" w:rsidR="00E30F03" w:rsidRPr="00E30F03" w:rsidRDefault="00E30F03" w:rsidP="00D55F5C">
            <w:pPr>
              <w:jc w:val="left"/>
              <w:rPr>
                <w:rFonts w:ascii="Candara" w:hAnsi="Candara" w:cs="Calibri"/>
                <w:b/>
              </w:rPr>
            </w:pPr>
            <w:r w:rsidRPr="00E30F03">
              <w:rPr>
                <w:rFonts w:ascii="Candara" w:hAnsi="Candara" w:cs="Calibri"/>
                <w:b/>
              </w:rPr>
              <w:t>Additional elements</w:t>
            </w:r>
          </w:p>
          <w:p w14:paraId="3534DA5B"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Deficit financing, describing its anticipated composition.</w:t>
            </w:r>
          </w:p>
          <w:p w14:paraId="47A9A382"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Macroeconomic assumptions, including at least estimates of GDP growth, inflation, interest rates, and the exchange rate.</w:t>
            </w:r>
          </w:p>
          <w:p w14:paraId="51F292E2"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 xml:space="preserve">Debt stock, including details at least for the beginning of the current fiscal year presented in accordance with GFS or </w:t>
            </w:r>
            <w:proofErr w:type="gramStart"/>
            <w:r w:rsidRPr="00E30F03">
              <w:rPr>
                <w:rFonts w:ascii="Candara" w:hAnsi="Candara" w:cs="Calibri"/>
                <w:bCs/>
              </w:rPr>
              <w:t>other</w:t>
            </w:r>
            <w:proofErr w:type="gramEnd"/>
            <w:r w:rsidRPr="00E30F03">
              <w:rPr>
                <w:rFonts w:ascii="Candara" w:hAnsi="Candara" w:cs="Calibri"/>
                <w:bCs/>
              </w:rPr>
              <w:t xml:space="preserve"> comparable standard.</w:t>
            </w:r>
          </w:p>
          <w:p w14:paraId="61F9CE14"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 xml:space="preserve">Financial assets, including details at least for the beginning of the current fiscal year presented in accordance with GFS or </w:t>
            </w:r>
            <w:proofErr w:type="gramStart"/>
            <w:r w:rsidRPr="00E30F03">
              <w:rPr>
                <w:rFonts w:ascii="Candara" w:hAnsi="Candara" w:cs="Calibri"/>
                <w:bCs/>
              </w:rPr>
              <w:t>other</w:t>
            </w:r>
            <w:proofErr w:type="gramEnd"/>
            <w:r w:rsidRPr="00E30F03">
              <w:rPr>
                <w:rFonts w:ascii="Candara" w:hAnsi="Candara" w:cs="Calibri"/>
                <w:bCs/>
              </w:rPr>
              <w:t xml:space="preserve"> comparable standard.</w:t>
            </w:r>
          </w:p>
          <w:p w14:paraId="4763B746"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Summary information of fiscal risks, including contingent liabilities such as guarantees, and contingent obligations embedded in structure financing instruments such as public-private partnership (PPP) contracts, and so on.</w:t>
            </w:r>
          </w:p>
          <w:p w14:paraId="577AC262" w14:textId="7777777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Explanation of budget implications of new policy initiatives and major new public investments, with estimates of the budgetary impact of all major revenue policy changes and/ or major changes to expenditure programs. In this element, for all major revenue policy changes and/ or major new public investments, assessors may cross check references with indicators PI-15 and PI-11.</w:t>
            </w:r>
          </w:p>
          <w:p w14:paraId="1B800E28" w14:textId="6F066DC7" w:rsidR="00E30F03" w:rsidRPr="00E30F03" w:rsidRDefault="00E30F03" w:rsidP="00E30F03">
            <w:pPr>
              <w:pStyle w:val="ListParagraph"/>
              <w:numPr>
                <w:ilvl w:val="0"/>
                <w:numId w:val="3"/>
              </w:numPr>
              <w:spacing w:after="0"/>
              <w:ind w:left="324" w:hanging="283"/>
              <w:jc w:val="left"/>
              <w:rPr>
                <w:rFonts w:ascii="Candara" w:hAnsi="Candara" w:cs="Calibri"/>
                <w:bCs/>
              </w:rPr>
            </w:pPr>
            <w:r w:rsidRPr="00E30F03">
              <w:rPr>
                <w:rFonts w:ascii="Candara" w:hAnsi="Candara" w:cs="Calibri"/>
                <w:bCs/>
              </w:rPr>
              <w:t xml:space="preserve">Documentation on the medium-term fiscal forecasts. In this element, the content of the documentation on the medium-term forecast should include as a </w:t>
            </w:r>
            <w:r w:rsidR="00864178" w:rsidRPr="00E30F03">
              <w:rPr>
                <w:rFonts w:ascii="Candara" w:hAnsi="Candara" w:cs="Calibri"/>
                <w:bCs/>
              </w:rPr>
              <w:t>minimum medium-term projection</w:t>
            </w:r>
            <w:r w:rsidRPr="00E30F03">
              <w:rPr>
                <w:rFonts w:ascii="Candara" w:hAnsi="Candara" w:cs="Calibri"/>
                <w:bCs/>
              </w:rPr>
              <w:t xml:space="preserve"> of expenditure, revenue, and fiscal balance.</w:t>
            </w:r>
          </w:p>
          <w:p w14:paraId="1AABE53B" w14:textId="77777777" w:rsidR="00E30F03" w:rsidRPr="00E30F03" w:rsidRDefault="00E30F03" w:rsidP="00D55F5C">
            <w:pPr>
              <w:autoSpaceDE w:val="0"/>
              <w:autoSpaceDN w:val="0"/>
              <w:adjustRightInd w:val="0"/>
              <w:spacing w:after="0"/>
              <w:jc w:val="left"/>
              <w:rPr>
                <w:rFonts w:ascii="Candara" w:hAnsi="Candara" w:cstheme="minorHAnsi"/>
              </w:rPr>
            </w:pPr>
            <w:r w:rsidRPr="00E30F03">
              <w:rPr>
                <w:rFonts w:ascii="Candara" w:hAnsi="Candara" w:cs="Calibri"/>
                <w:bCs/>
              </w:rPr>
              <w:t>Quantification of tax expenditures. In this element, tax expenditure refers to revenue foregone due to preferential tax treatments such as exemptions, deductions, credits, tax breaks, etc.</w:t>
            </w:r>
          </w:p>
        </w:tc>
      </w:tr>
      <w:tr w:rsidR="00E30F03" w:rsidRPr="00E30F03" w14:paraId="5BC1ECAE" w14:textId="77777777" w:rsidTr="00D55F5C">
        <w:trPr>
          <w:cantSplit/>
        </w:trPr>
        <w:tc>
          <w:tcPr>
            <w:tcW w:w="1571" w:type="dxa"/>
            <w:tcBorders>
              <w:top w:val="single" w:sz="4" w:space="0" w:color="auto"/>
              <w:left w:val="single" w:sz="4" w:space="0" w:color="auto"/>
              <w:bottom w:val="single" w:sz="4" w:space="0" w:color="auto"/>
              <w:right w:val="single" w:sz="4" w:space="0" w:color="auto"/>
            </w:tcBorders>
          </w:tcPr>
          <w:p w14:paraId="5C2161CD" w14:textId="77777777" w:rsidR="00E30F03" w:rsidRPr="00864178" w:rsidRDefault="00E30F03" w:rsidP="00D55F5C">
            <w:pPr>
              <w:spacing w:after="0"/>
              <w:jc w:val="left"/>
              <w:rPr>
                <w:rFonts w:ascii="Candara" w:hAnsi="Candara" w:cstheme="minorHAnsi"/>
                <w:b/>
                <w:bCs/>
                <w:color w:val="0070C0"/>
              </w:rPr>
            </w:pPr>
            <w:r w:rsidRPr="00864178">
              <w:rPr>
                <w:rFonts w:ascii="Candara" w:hAnsi="Candara" w:cs="Calibri"/>
                <w:b/>
                <w:bCs/>
                <w:color w:val="0070C0"/>
              </w:rPr>
              <w:t>VI. Accounting and reporting</w:t>
            </w:r>
          </w:p>
        </w:tc>
        <w:tc>
          <w:tcPr>
            <w:tcW w:w="1665" w:type="dxa"/>
            <w:tcBorders>
              <w:top w:val="single" w:sz="4" w:space="0" w:color="auto"/>
              <w:left w:val="single" w:sz="4" w:space="0" w:color="auto"/>
              <w:bottom w:val="single" w:sz="4" w:space="0" w:color="auto"/>
              <w:right w:val="single" w:sz="4" w:space="0" w:color="auto"/>
            </w:tcBorders>
          </w:tcPr>
          <w:p w14:paraId="07B1E2B9" w14:textId="77777777" w:rsidR="00E30F03" w:rsidRPr="00E30F03" w:rsidRDefault="00E30F03" w:rsidP="00D55F5C">
            <w:pPr>
              <w:spacing w:after="0"/>
              <w:jc w:val="left"/>
              <w:rPr>
                <w:rFonts w:ascii="Candara" w:hAnsi="Candara" w:cstheme="minorHAnsi"/>
              </w:rPr>
            </w:pPr>
            <w:r w:rsidRPr="00E30F03">
              <w:rPr>
                <w:rFonts w:ascii="Candara" w:hAnsi="Candara" w:cs="Calibri"/>
              </w:rPr>
              <w:t>PI-28. In-year budget reports</w:t>
            </w:r>
          </w:p>
        </w:tc>
        <w:tc>
          <w:tcPr>
            <w:tcW w:w="1665" w:type="dxa"/>
            <w:tcBorders>
              <w:top w:val="single" w:sz="4" w:space="0" w:color="auto"/>
              <w:left w:val="single" w:sz="4" w:space="0" w:color="auto"/>
              <w:bottom w:val="single" w:sz="4" w:space="0" w:color="auto"/>
              <w:right w:val="single" w:sz="4" w:space="0" w:color="auto"/>
            </w:tcBorders>
          </w:tcPr>
          <w:p w14:paraId="4E53803D" w14:textId="77777777" w:rsidR="00E30F03" w:rsidRPr="00E30F03" w:rsidRDefault="00E30F03" w:rsidP="00D55F5C">
            <w:pPr>
              <w:spacing w:after="0"/>
              <w:jc w:val="left"/>
              <w:rPr>
                <w:rFonts w:ascii="Candara" w:hAnsi="Candara" w:cstheme="minorHAnsi"/>
              </w:rPr>
            </w:pPr>
            <w:r w:rsidRPr="00E30F03">
              <w:rPr>
                <w:rFonts w:ascii="Candara" w:hAnsi="Candara" w:cs="Calibri"/>
              </w:rPr>
              <w:t>28.1. Coverage and comparability of reports</w:t>
            </w:r>
          </w:p>
        </w:tc>
        <w:tc>
          <w:tcPr>
            <w:tcW w:w="5731" w:type="dxa"/>
            <w:tcBorders>
              <w:top w:val="single" w:sz="4" w:space="0" w:color="auto"/>
              <w:left w:val="single" w:sz="4" w:space="0" w:color="auto"/>
              <w:bottom w:val="single" w:sz="4" w:space="0" w:color="auto"/>
              <w:right w:val="single" w:sz="4" w:space="0" w:color="auto"/>
            </w:tcBorders>
          </w:tcPr>
          <w:p w14:paraId="746B845D" w14:textId="77777777" w:rsidR="00E30F03" w:rsidRPr="00E30F03" w:rsidRDefault="00E30F03" w:rsidP="00D55F5C">
            <w:pPr>
              <w:autoSpaceDE w:val="0"/>
              <w:autoSpaceDN w:val="0"/>
              <w:adjustRightInd w:val="0"/>
              <w:spacing w:after="0"/>
              <w:jc w:val="left"/>
              <w:rPr>
                <w:rFonts w:ascii="Candara" w:hAnsi="Candara" w:cstheme="minorHAnsi"/>
              </w:rPr>
            </w:pPr>
            <w:r w:rsidRPr="00E30F03">
              <w:rPr>
                <w:rFonts w:ascii="Candara" w:hAnsi="Candara" w:cs="Calibri"/>
              </w:rPr>
              <w:t xml:space="preserve">Coverage and classification of data allows direct comparison to the original budget. Information includes </w:t>
            </w:r>
            <w:r w:rsidRPr="00E30F03">
              <w:rPr>
                <w:rFonts w:ascii="Candara" w:hAnsi="Candara" w:cs="Calibri"/>
                <w:b/>
                <w:bCs/>
              </w:rPr>
              <w:t xml:space="preserve">all </w:t>
            </w:r>
            <w:r w:rsidRPr="00E30F03">
              <w:rPr>
                <w:rFonts w:ascii="Candara" w:hAnsi="Candara" w:cs="Calibri"/>
              </w:rPr>
              <w:t>items of budget estimates. Expenditures made from transfers to de-concentrated units within central government are included in the reports.</w:t>
            </w:r>
          </w:p>
        </w:tc>
      </w:tr>
      <w:tr w:rsidR="00E30F03" w:rsidRPr="00E30F03" w14:paraId="3B36FABE" w14:textId="77777777" w:rsidTr="00D55F5C">
        <w:trPr>
          <w:cantSplit/>
        </w:trPr>
        <w:tc>
          <w:tcPr>
            <w:tcW w:w="1571" w:type="dxa"/>
            <w:tcBorders>
              <w:top w:val="single" w:sz="4" w:space="0" w:color="auto"/>
              <w:left w:val="single" w:sz="4" w:space="0" w:color="auto"/>
              <w:bottom w:val="single" w:sz="4" w:space="0" w:color="auto"/>
              <w:right w:val="single" w:sz="4" w:space="0" w:color="auto"/>
            </w:tcBorders>
          </w:tcPr>
          <w:p w14:paraId="39A1A3A8" w14:textId="77777777" w:rsidR="00E30F03" w:rsidRPr="00864178" w:rsidRDefault="00E30F03" w:rsidP="00D55F5C">
            <w:pPr>
              <w:spacing w:after="0"/>
              <w:jc w:val="left"/>
              <w:rPr>
                <w:rFonts w:ascii="Candara" w:hAnsi="Candara" w:cstheme="minorHAnsi"/>
                <w:b/>
                <w:bCs/>
                <w:color w:val="0070C0"/>
              </w:rPr>
            </w:pPr>
            <w:r w:rsidRPr="00864178">
              <w:rPr>
                <w:rFonts w:ascii="Candara" w:hAnsi="Candara" w:cs="Calibri"/>
                <w:b/>
                <w:bCs/>
                <w:color w:val="0070C0"/>
              </w:rPr>
              <w:lastRenderedPageBreak/>
              <w:t>VI. Accounting and reporting</w:t>
            </w:r>
          </w:p>
        </w:tc>
        <w:tc>
          <w:tcPr>
            <w:tcW w:w="1665" w:type="dxa"/>
            <w:tcBorders>
              <w:top w:val="single" w:sz="4" w:space="0" w:color="auto"/>
              <w:left w:val="single" w:sz="4" w:space="0" w:color="auto"/>
              <w:bottom w:val="single" w:sz="4" w:space="0" w:color="auto"/>
              <w:right w:val="single" w:sz="4" w:space="0" w:color="auto"/>
            </w:tcBorders>
          </w:tcPr>
          <w:p w14:paraId="091032B6" w14:textId="77777777" w:rsidR="00E30F03" w:rsidRPr="00E30F03" w:rsidRDefault="00E30F03" w:rsidP="00D55F5C">
            <w:pPr>
              <w:spacing w:after="0"/>
              <w:jc w:val="left"/>
              <w:rPr>
                <w:rFonts w:ascii="Candara" w:hAnsi="Candara" w:cstheme="minorHAnsi"/>
              </w:rPr>
            </w:pPr>
            <w:r w:rsidRPr="00E30F03">
              <w:rPr>
                <w:rFonts w:ascii="Candara" w:hAnsi="Candara" w:cs="Calibri"/>
              </w:rPr>
              <w:t>PI-28. In-year budget reports</w:t>
            </w:r>
          </w:p>
        </w:tc>
        <w:tc>
          <w:tcPr>
            <w:tcW w:w="1665" w:type="dxa"/>
            <w:tcBorders>
              <w:top w:val="single" w:sz="4" w:space="0" w:color="auto"/>
              <w:left w:val="single" w:sz="4" w:space="0" w:color="auto"/>
              <w:bottom w:val="single" w:sz="4" w:space="0" w:color="auto"/>
              <w:right w:val="single" w:sz="4" w:space="0" w:color="auto"/>
            </w:tcBorders>
          </w:tcPr>
          <w:p w14:paraId="4D7618F4" w14:textId="77777777" w:rsidR="00E30F03" w:rsidRPr="00E30F03" w:rsidRDefault="00E30F03" w:rsidP="00D55F5C">
            <w:pPr>
              <w:spacing w:after="0"/>
              <w:jc w:val="left"/>
              <w:rPr>
                <w:rFonts w:ascii="Candara" w:hAnsi="Candara" w:cstheme="minorHAnsi"/>
              </w:rPr>
            </w:pPr>
            <w:r w:rsidRPr="00E30F03">
              <w:rPr>
                <w:rFonts w:ascii="Candara" w:hAnsi="Candara" w:cs="Calibri"/>
              </w:rPr>
              <w:t>28.2. Timing of in-year budget reports</w:t>
            </w:r>
          </w:p>
        </w:tc>
        <w:tc>
          <w:tcPr>
            <w:tcW w:w="5731" w:type="dxa"/>
            <w:tcBorders>
              <w:top w:val="single" w:sz="4" w:space="0" w:color="auto"/>
              <w:left w:val="single" w:sz="4" w:space="0" w:color="auto"/>
              <w:bottom w:val="single" w:sz="4" w:space="0" w:color="auto"/>
              <w:right w:val="single" w:sz="4" w:space="0" w:color="auto"/>
            </w:tcBorders>
          </w:tcPr>
          <w:p w14:paraId="46A82241" w14:textId="77777777" w:rsidR="00E30F03" w:rsidRPr="00E30F03" w:rsidRDefault="00E30F03" w:rsidP="00D55F5C">
            <w:pPr>
              <w:autoSpaceDE w:val="0"/>
              <w:autoSpaceDN w:val="0"/>
              <w:adjustRightInd w:val="0"/>
              <w:spacing w:after="0"/>
              <w:jc w:val="left"/>
              <w:rPr>
                <w:rFonts w:ascii="Candara" w:hAnsi="Candara" w:cstheme="minorHAnsi"/>
              </w:rPr>
            </w:pPr>
            <w:r w:rsidRPr="00E30F03">
              <w:rPr>
                <w:rFonts w:ascii="Candara" w:hAnsi="Candara" w:cs="Calibri"/>
              </w:rPr>
              <w:t>Budget execution reports are prepared monthly and issued within two weeks from the end of each month.</w:t>
            </w:r>
          </w:p>
        </w:tc>
      </w:tr>
      <w:tr w:rsidR="00E30F03" w:rsidRPr="00E30F03" w14:paraId="2AEB15DF" w14:textId="77777777" w:rsidTr="00D55F5C">
        <w:trPr>
          <w:cantSplit/>
        </w:trPr>
        <w:tc>
          <w:tcPr>
            <w:tcW w:w="1571" w:type="dxa"/>
            <w:tcBorders>
              <w:top w:val="single" w:sz="4" w:space="0" w:color="auto"/>
              <w:left w:val="single" w:sz="4" w:space="0" w:color="auto"/>
              <w:bottom w:val="single" w:sz="4" w:space="0" w:color="auto"/>
              <w:right w:val="single" w:sz="4" w:space="0" w:color="auto"/>
            </w:tcBorders>
          </w:tcPr>
          <w:p w14:paraId="473E30C7" w14:textId="77777777" w:rsidR="00E30F03" w:rsidRPr="00864178" w:rsidRDefault="00E30F03" w:rsidP="00D55F5C">
            <w:pPr>
              <w:spacing w:after="0"/>
              <w:jc w:val="left"/>
              <w:rPr>
                <w:rFonts w:ascii="Candara" w:hAnsi="Candara" w:cstheme="minorHAnsi"/>
                <w:b/>
                <w:bCs/>
                <w:color w:val="0070C0"/>
              </w:rPr>
            </w:pPr>
            <w:r w:rsidRPr="00864178">
              <w:rPr>
                <w:rFonts w:ascii="Candara" w:hAnsi="Candara" w:cs="Calibri"/>
                <w:b/>
                <w:bCs/>
                <w:color w:val="0070C0"/>
              </w:rPr>
              <w:t>VI. Accounting and reporting</w:t>
            </w:r>
          </w:p>
        </w:tc>
        <w:tc>
          <w:tcPr>
            <w:tcW w:w="1665" w:type="dxa"/>
            <w:tcBorders>
              <w:top w:val="single" w:sz="4" w:space="0" w:color="auto"/>
              <w:left w:val="single" w:sz="4" w:space="0" w:color="auto"/>
              <w:bottom w:val="single" w:sz="4" w:space="0" w:color="auto"/>
              <w:right w:val="single" w:sz="4" w:space="0" w:color="auto"/>
            </w:tcBorders>
          </w:tcPr>
          <w:p w14:paraId="37E20F65" w14:textId="77777777" w:rsidR="00E30F03" w:rsidRPr="00E30F03" w:rsidRDefault="00E30F03" w:rsidP="00D55F5C">
            <w:pPr>
              <w:spacing w:after="0"/>
              <w:jc w:val="left"/>
              <w:rPr>
                <w:rFonts w:ascii="Candara" w:hAnsi="Candara" w:cstheme="minorHAnsi"/>
              </w:rPr>
            </w:pPr>
            <w:r w:rsidRPr="00E30F03">
              <w:rPr>
                <w:rFonts w:ascii="Candara" w:hAnsi="Candara" w:cs="Calibri"/>
              </w:rPr>
              <w:t>PI-28. In-year budget reports</w:t>
            </w:r>
          </w:p>
        </w:tc>
        <w:tc>
          <w:tcPr>
            <w:tcW w:w="1665" w:type="dxa"/>
            <w:tcBorders>
              <w:top w:val="single" w:sz="4" w:space="0" w:color="auto"/>
              <w:left w:val="single" w:sz="4" w:space="0" w:color="auto"/>
              <w:bottom w:val="single" w:sz="4" w:space="0" w:color="auto"/>
              <w:right w:val="single" w:sz="4" w:space="0" w:color="auto"/>
            </w:tcBorders>
          </w:tcPr>
          <w:p w14:paraId="76756C01" w14:textId="77777777" w:rsidR="00E30F03" w:rsidRPr="00E30F03" w:rsidRDefault="00E30F03" w:rsidP="00D55F5C">
            <w:pPr>
              <w:spacing w:after="0"/>
              <w:jc w:val="left"/>
              <w:rPr>
                <w:rFonts w:ascii="Candara" w:hAnsi="Candara" w:cstheme="minorHAnsi"/>
              </w:rPr>
            </w:pPr>
            <w:r w:rsidRPr="00E30F03">
              <w:rPr>
                <w:rFonts w:ascii="Candara" w:hAnsi="Candara" w:cs="Calibri"/>
              </w:rPr>
              <w:t>28.3. Accuracy of in-year budget reports</w:t>
            </w:r>
          </w:p>
        </w:tc>
        <w:tc>
          <w:tcPr>
            <w:tcW w:w="5731" w:type="dxa"/>
            <w:tcBorders>
              <w:top w:val="single" w:sz="4" w:space="0" w:color="auto"/>
              <w:left w:val="single" w:sz="4" w:space="0" w:color="auto"/>
              <w:bottom w:val="single" w:sz="4" w:space="0" w:color="auto"/>
              <w:right w:val="single" w:sz="4" w:space="0" w:color="auto"/>
            </w:tcBorders>
          </w:tcPr>
          <w:p w14:paraId="11BD6C29" w14:textId="77777777" w:rsidR="00E30F03" w:rsidRPr="00E30F03" w:rsidRDefault="00E30F03" w:rsidP="00D55F5C">
            <w:pPr>
              <w:autoSpaceDE w:val="0"/>
              <w:autoSpaceDN w:val="0"/>
              <w:adjustRightInd w:val="0"/>
              <w:spacing w:after="0"/>
              <w:jc w:val="left"/>
              <w:rPr>
                <w:rFonts w:ascii="Candara" w:hAnsi="Candara" w:cstheme="minorHAnsi"/>
              </w:rPr>
            </w:pPr>
            <w:r w:rsidRPr="00E30F03">
              <w:rPr>
                <w:rFonts w:ascii="Candara" w:hAnsi="Candara" w:cs="Calibri"/>
              </w:rPr>
              <w:t>There are no material concerns regarding data accuracy. An analysis of budget execution is provided by whatever budget classifications are in use. Information on expenditure is covered at both commitment and payment stages.</w:t>
            </w:r>
          </w:p>
        </w:tc>
      </w:tr>
    </w:tbl>
    <w:p w14:paraId="17B2CF9A" w14:textId="77777777" w:rsidR="00E30F03" w:rsidRPr="00E30F03" w:rsidRDefault="00E30F03" w:rsidP="00E30F03">
      <w:pPr>
        <w:pStyle w:val="NumberedParagraph"/>
        <w:numPr>
          <w:ilvl w:val="0"/>
          <w:numId w:val="0"/>
        </w:numPr>
        <w:ind w:left="567" w:hanging="567"/>
        <w:rPr>
          <w:rFonts w:ascii="Candara" w:hAnsi="Candara"/>
        </w:rPr>
      </w:pPr>
    </w:p>
    <w:p w14:paraId="48B830D7" w14:textId="77777777" w:rsidR="00F65FBF" w:rsidRPr="00E30F03" w:rsidRDefault="00864178">
      <w:pPr>
        <w:rPr>
          <w:rFonts w:ascii="Candara" w:hAnsi="Candara"/>
        </w:rPr>
      </w:pPr>
    </w:p>
    <w:sectPr w:rsidR="00F65FBF" w:rsidRPr="00E30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D3DFB"/>
    <w:multiLevelType w:val="multilevel"/>
    <w:tmpl w:val="F5FAF7BE"/>
    <w:lvl w:ilvl="0">
      <w:start w:val="1"/>
      <w:numFmt w:val="decimal"/>
      <w:pStyle w:val="NumberedParagraph"/>
      <w:lvlText w:val="%1."/>
      <w:lvlJc w:val="left"/>
      <w:pPr>
        <w:ind w:left="567" w:hanging="567"/>
      </w:pPr>
      <w:rPr>
        <w:b w:val="0"/>
        <w:i w:val="0"/>
        <w:caps w:val="0"/>
        <w:strike w:val="0"/>
        <w:vanish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134" w:hanging="567"/>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4CCF6C4E"/>
    <w:multiLevelType w:val="multilevel"/>
    <w:tmpl w:val="B5F0253E"/>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1.%2"/>
      <w:lvlJc w:val="left"/>
      <w:pPr>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nnex"/>
      <w:isLgl/>
      <w:lvlText w:val="Annex %4"/>
      <w:lvlJc w:val="left"/>
      <w:pPr>
        <w:ind w:left="1701" w:hanging="170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2" w15:restartNumberingAfterBreak="0">
    <w:nsid w:val="650E1B26"/>
    <w:multiLevelType w:val="hybridMultilevel"/>
    <w:tmpl w:val="286C2240"/>
    <w:lvl w:ilvl="0" w:tplc="5C50C5EA">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F03"/>
    <w:rsid w:val="003D4740"/>
    <w:rsid w:val="00864178"/>
    <w:rsid w:val="00D412FD"/>
    <w:rsid w:val="00E30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A5411"/>
  <w15:chartTrackingRefBased/>
  <w15:docId w15:val="{52DB0BDA-F0F4-4755-9C80-FBC0EBAA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5"/>
    <w:qFormat/>
    <w:rsid w:val="00E30F03"/>
    <w:pPr>
      <w:spacing w:before="120" w:after="120" w:line="240" w:lineRule="auto"/>
      <w:jc w:val="both"/>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CFAA"/>
    <w:basedOn w:val="TableNormal"/>
    <w:uiPriority w:val="39"/>
    <w:rsid w:val="00E30F03"/>
    <w:pPr>
      <w:spacing w:after="0" w:line="240" w:lineRule="auto"/>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graph">
    <w:name w:val="Numbered Paragraph"/>
    <w:basedOn w:val="Normal"/>
    <w:link w:val="NumberedParagraphChar"/>
    <w:uiPriority w:val="99"/>
    <w:qFormat/>
    <w:rsid w:val="00E30F03"/>
    <w:pPr>
      <w:numPr>
        <w:numId w:val="2"/>
      </w:numPr>
    </w:pPr>
  </w:style>
  <w:style w:type="character" w:customStyle="1" w:styleId="NumberedParagraphChar">
    <w:name w:val="Numbered Paragraph Char"/>
    <w:aliases w:val="List Paragraph Char,Bullets Char,References Char,Numbered List Paragraph Char,List Paragraph (numbered (a)) Char,List Paragraph nowy Char,Liste 1 Char,Main numbered paragraph Char,123 List Paragraph Char,List_Paragraph Char"/>
    <w:basedOn w:val="DefaultParagraphFont"/>
    <w:link w:val="NumberedParagraph"/>
    <w:uiPriority w:val="99"/>
    <w:qFormat/>
    <w:rsid w:val="00E30F03"/>
    <w:rPr>
      <w:rFonts w:eastAsiaTheme="minorEastAsia"/>
      <w:lang w:val="en-GB" w:eastAsia="en-GB"/>
    </w:rPr>
  </w:style>
  <w:style w:type="paragraph" w:styleId="Caption">
    <w:name w:val="caption"/>
    <w:basedOn w:val="Normal"/>
    <w:next w:val="Normal"/>
    <w:link w:val="CaptionChar"/>
    <w:uiPriority w:val="99"/>
    <w:unhideWhenUsed/>
    <w:qFormat/>
    <w:rsid w:val="00E30F03"/>
    <w:pPr>
      <w:keepNext/>
      <w:spacing w:before="240"/>
      <w:jc w:val="center"/>
    </w:pPr>
    <w:rPr>
      <w:b/>
      <w:bCs/>
      <w:szCs w:val="18"/>
    </w:rPr>
  </w:style>
  <w:style w:type="paragraph" w:customStyle="1" w:styleId="Annex">
    <w:name w:val="Annex"/>
    <w:basedOn w:val="Normal"/>
    <w:next w:val="NumberedParagraph"/>
    <w:link w:val="AnnexChar"/>
    <w:uiPriority w:val="99"/>
    <w:qFormat/>
    <w:rsid w:val="00E30F03"/>
    <w:pPr>
      <w:numPr>
        <w:ilvl w:val="3"/>
        <w:numId w:val="1"/>
      </w:numPr>
      <w:spacing w:after="360"/>
      <w:jc w:val="left"/>
      <w:outlineLvl w:val="0"/>
    </w:pPr>
    <w:rPr>
      <w:b/>
      <w:color w:val="32746D"/>
      <w:sz w:val="32"/>
      <w:szCs w:val="32"/>
    </w:rPr>
  </w:style>
  <w:style w:type="character" w:customStyle="1" w:styleId="CaptionChar">
    <w:name w:val="Caption Char"/>
    <w:link w:val="Caption"/>
    <w:uiPriority w:val="99"/>
    <w:locked/>
    <w:rsid w:val="00E30F03"/>
    <w:rPr>
      <w:rFonts w:eastAsiaTheme="minorEastAsia"/>
      <w:b/>
      <w:bCs/>
      <w:szCs w:val="18"/>
      <w:lang w:val="en-GB" w:eastAsia="en-GB"/>
    </w:rPr>
  </w:style>
  <w:style w:type="paragraph" w:styleId="ListParagraph">
    <w:name w:val="List Paragraph"/>
    <w:aliases w:val="Box text,Bullets,References,Numbered List Paragraph,List Paragraph (numbered (a)),List Paragraph nowy,Liste 1,Main numbered paragraph,123 List Paragraph,List_Paragraph,Multilevel para_II,List Paragraph1,Bullet paras,Body,lp1,Ha"/>
    <w:basedOn w:val="Normal"/>
    <w:uiPriority w:val="34"/>
    <w:qFormat/>
    <w:rsid w:val="00E30F03"/>
    <w:pPr>
      <w:ind w:left="720"/>
      <w:contextualSpacing/>
    </w:pPr>
    <w:rPr>
      <w:rFonts w:eastAsia="Times New Roman" w:cs="Times New Roman"/>
      <w:szCs w:val="24"/>
    </w:rPr>
  </w:style>
  <w:style w:type="character" w:customStyle="1" w:styleId="AnnexChar">
    <w:name w:val="Annex Char"/>
    <w:basedOn w:val="DefaultParagraphFont"/>
    <w:link w:val="Annex"/>
    <w:uiPriority w:val="99"/>
    <w:rsid w:val="00E30F03"/>
    <w:rPr>
      <w:rFonts w:eastAsiaTheme="minorEastAsia"/>
      <w:b/>
      <w:color w:val="32746D"/>
      <w:sz w:val="32"/>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515</Words>
  <Characters>2942</Characters>
  <Application>Microsoft Office Word</Application>
  <DocSecurity>0</DocSecurity>
  <Lines>24</Lines>
  <Paragraphs>6</Paragraphs>
  <ScaleCrop>false</ScaleCrop>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Olanrewaju Ajogbasile</dc:creator>
  <cp:keywords/>
  <dc:description/>
  <cp:lastModifiedBy>Uzochukwu Amakom</cp:lastModifiedBy>
  <cp:revision>2</cp:revision>
  <dcterms:created xsi:type="dcterms:W3CDTF">2020-05-17T19:27:00Z</dcterms:created>
  <dcterms:modified xsi:type="dcterms:W3CDTF">2020-05-26T16:56:00Z</dcterms:modified>
</cp:coreProperties>
</file>